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18" w:rsidRPr="00C641DD" w:rsidRDefault="00E95755" w:rsidP="00CC1D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fldChar w:fldCharType="begin"/>
      </w:r>
      <w:r>
        <w:instrText>HYPERLINK "http://zakupki-inform.ru/44-fz/pisma-i-raz-yasneniya-po-44-fz/pismo-minfina-rossii-ot-25-06-2018-24-06-08-43650.html"</w:instrText>
      </w:r>
      <w:r>
        <w:fldChar w:fldCharType="separate"/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Минфина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России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25.06.2018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24-06-08/43650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"О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вступлении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силу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положений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Федеральных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законов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31.12.2017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504-ФЗ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="00CC1D18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1D18" w:rsidRPr="00C641DD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505-ФЗ"</w:t>
      </w:r>
      <w:r>
        <w:fldChar w:fldCharType="end"/>
      </w:r>
    </w:p>
    <w:p w:rsidR="00CC1D18" w:rsidRDefault="00CC1D18" w:rsidP="00CC1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1D18" w:rsidRPr="00A431DA" w:rsidRDefault="00CC1D18" w:rsidP="00CC1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Минфин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вопросами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31.12.2017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внесении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товаров,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нужд"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31.12.2017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внесении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принятием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Думой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21.06.2018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третьем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чтении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381746-7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внесении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товаров,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видами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лиц"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товаров,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нужд"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381746-7,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сообщает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позицию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переходного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периода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поэтапно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вводятся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итогам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внесения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заявок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органы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товаров,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нужд: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(подрядчиков,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двухэтапного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форме,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котировок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форме;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(подрядчиков,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органы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конкурс,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двухэтапный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конкурс,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котировок,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форме.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Вышеизложенное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75,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76,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82,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93,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111.1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24.1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товаров,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прошедших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отбор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сохраняется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08.06.2018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656),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фунщионирования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подписываемого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Минфином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Минфину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поручено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предельная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орган,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площадках;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учетом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особенностей;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учетом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вводится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вступающая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устанавливающая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процедур.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случаи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доработанного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Вместе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тем,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извещения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Кроме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656,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площадку,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аукциона,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(подрядчиков,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исключительно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аукциона,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случаях,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площадке;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случаях,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площадке;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случаях,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заявок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денежные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заявок,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вносятся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каждым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условиям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30.05.2018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626),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вступающем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отдельных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каждым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имеющегося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626.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товаров,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работ,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нужд,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извещения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принять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предельная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образом,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имеющегося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будут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учете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расчетной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04.05.2010.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Минфин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сообщает,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принятие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перечня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середины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проектом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аналогичные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Бюджетным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кодексом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кредитным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могут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размещаться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депозиты.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одном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открывать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каждым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имеющийся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наделен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статусом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имеющегося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качестве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счета,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626.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усиленной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принятого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31.12.2017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вносящего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числе,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дополняющего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5.5,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ключей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являющихся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лицами)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создаются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выдаются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центрами,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получившими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"Об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подписи"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63-ФЗ).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применяют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ключей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целей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являющихся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лицами)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отобранных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площадках,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обеспечившим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целях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получить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любом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центре,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получившем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аккредитацию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63-ФЗ,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короткий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504-ФЗ)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контрактной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ключей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подписей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казначейством.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должны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приведены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считаются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извещения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были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завершаются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правилам,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такого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извещения.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правовым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актом,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регламентирующим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принимаемое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кодексом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другими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правовыми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актами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учитывая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правилам,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площадке,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функционирующей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44-ФЗ,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образом,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конкурентной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малого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(не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Следует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отметить,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законопроектом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381746-7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дополняется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статья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223-ФЗ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редакции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505-ФЗ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связанным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закупок,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извещения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единой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принять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участие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начала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новых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площадок.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этом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законопроектом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данное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вступает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письмо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правовым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актом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носит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1D18" w:rsidRPr="00A431DA" w:rsidRDefault="00CC1D18" w:rsidP="00CC1D18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A.M.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1DA">
        <w:rPr>
          <w:rFonts w:ascii="Times New Roman" w:hAnsi="Times New Roman" w:cs="Times New Roman"/>
          <w:color w:val="000000" w:themeColor="text1"/>
          <w:sz w:val="24"/>
          <w:szCs w:val="24"/>
        </w:rPr>
        <w:t>Лавров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5869" w:rsidRDefault="007F5869" w:rsidP="007F5869">
      <w:pPr>
        <w:pStyle w:val="pc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</w:p>
    <w:sectPr w:rsidR="007F5869" w:rsidSect="0004145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4"/>
    <w:multiLevelType w:val="multilevel"/>
    <w:tmpl w:val="672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556D"/>
    <w:multiLevelType w:val="multilevel"/>
    <w:tmpl w:val="E32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34BFD"/>
    <w:multiLevelType w:val="hybridMultilevel"/>
    <w:tmpl w:val="DC72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43AE"/>
    <w:multiLevelType w:val="multilevel"/>
    <w:tmpl w:val="40B0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B74A3"/>
    <w:multiLevelType w:val="multilevel"/>
    <w:tmpl w:val="E27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260"/>
    <w:rsid w:val="00000213"/>
    <w:rsid w:val="000276E2"/>
    <w:rsid w:val="0004145A"/>
    <w:rsid w:val="00053AF1"/>
    <w:rsid w:val="0011117D"/>
    <w:rsid w:val="001349F0"/>
    <w:rsid w:val="00171232"/>
    <w:rsid w:val="00187D1D"/>
    <w:rsid w:val="001A673F"/>
    <w:rsid w:val="001B4DD8"/>
    <w:rsid w:val="002428DC"/>
    <w:rsid w:val="00275985"/>
    <w:rsid w:val="00290400"/>
    <w:rsid w:val="002B3553"/>
    <w:rsid w:val="0030299B"/>
    <w:rsid w:val="003252F8"/>
    <w:rsid w:val="003522BF"/>
    <w:rsid w:val="00361B00"/>
    <w:rsid w:val="0037439C"/>
    <w:rsid w:val="0038524B"/>
    <w:rsid w:val="00387AA6"/>
    <w:rsid w:val="003A76ED"/>
    <w:rsid w:val="003D612E"/>
    <w:rsid w:val="003E7C5C"/>
    <w:rsid w:val="00466B80"/>
    <w:rsid w:val="004C164F"/>
    <w:rsid w:val="004F3C68"/>
    <w:rsid w:val="004F6260"/>
    <w:rsid w:val="005161AF"/>
    <w:rsid w:val="005257CF"/>
    <w:rsid w:val="0053693E"/>
    <w:rsid w:val="005435CC"/>
    <w:rsid w:val="0054563A"/>
    <w:rsid w:val="00594745"/>
    <w:rsid w:val="005B0FE6"/>
    <w:rsid w:val="005E25EB"/>
    <w:rsid w:val="005F407E"/>
    <w:rsid w:val="00605359"/>
    <w:rsid w:val="00625692"/>
    <w:rsid w:val="00667A06"/>
    <w:rsid w:val="006831E1"/>
    <w:rsid w:val="006C6B24"/>
    <w:rsid w:val="006E558F"/>
    <w:rsid w:val="00722FFC"/>
    <w:rsid w:val="0073420A"/>
    <w:rsid w:val="00751590"/>
    <w:rsid w:val="007736DA"/>
    <w:rsid w:val="007C60CE"/>
    <w:rsid w:val="007D45D0"/>
    <w:rsid w:val="007F2261"/>
    <w:rsid w:val="007F5869"/>
    <w:rsid w:val="00834F99"/>
    <w:rsid w:val="00877AD0"/>
    <w:rsid w:val="008A5528"/>
    <w:rsid w:val="008B75A5"/>
    <w:rsid w:val="008C5880"/>
    <w:rsid w:val="008F2F63"/>
    <w:rsid w:val="00903E23"/>
    <w:rsid w:val="00914707"/>
    <w:rsid w:val="00915014"/>
    <w:rsid w:val="009502FC"/>
    <w:rsid w:val="00952D69"/>
    <w:rsid w:val="00954D0A"/>
    <w:rsid w:val="0099049E"/>
    <w:rsid w:val="009C35B6"/>
    <w:rsid w:val="009E3698"/>
    <w:rsid w:val="00A52F83"/>
    <w:rsid w:val="00A82DA5"/>
    <w:rsid w:val="00AB2F70"/>
    <w:rsid w:val="00AD1575"/>
    <w:rsid w:val="00AE7CA1"/>
    <w:rsid w:val="00AF41C1"/>
    <w:rsid w:val="00B03C64"/>
    <w:rsid w:val="00B34360"/>
    <w:rsid w:val="00B374F3"/>
    <w:rsid w:val="00B601A1"/>
    <w:rsid w:val="00B778E8"/>
    <w:rsid w:val="00BB5767"/>
    <w:rsid w:val="00BB7897"/>
    <w:rsid w:val="00BE6217"/>
    <w:rsid w:val="00C65CA7"/>
    <w:rsid w:val="00CB38FF"/>
    <w:rsid w:val="00CC1D18"/>
    <w:rsid w:val="00CF43EB"/>
    <w:rsid w:val="00D35FEB"/>
    <w:rsid w:val="00D91468"/>
    <w:rsid w:val="00D916F1"/>
    <w:rsid w:val="00DB2CBC"/>
    <w:rsid w:val="00DD3F5A"/>
    <w:rsid w:val="00E60199"/>
    <w:rsid w:val="00E6236C"/>
    <w:rsid w:val="00E9229C"/>
    <w:rsid w:val="00E95755"/>
    <w:rsid w:val="00EB1B61"/>
    <w:rsid w:val="00F10AA9"/>
    <w:rsid w:val="00F5246B"/>
    <w:rsid w:val="00F71461"/>
    <w:rsid w:val="00F75598"/>
    <w:rsid w:val="00F92FA2"/>
    <w:rsid w:val="00FA6A61"/>
    <w:rsid w:val="00FC6F4B"/>
    <w:rsid w:val="00FD0809"/>
    <w:rsid w:val="00FF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A7"/>
  </w:style>
  <w:style w:type="paragraph" w:styleId="1">
    <w:name w:val="heading 1"/>
    <w:basedOn w:val="a"/>
    <w:link w:val="10"/>
    <w:uiPriority w:val="9"/>
    <w:qFormat/>
    <w:rsid w:val="0099049E"/>
    <w:pPr>
      <w:spacing w:after="240" w:line="240" w:lineRule="auto"/>
      <w:outlineLvl w:val="0"/>
    </w:pPr>
    <w:rPr>
      <w:rFonts w:ascii="Arial" w:eastAsia="Times New Roman" w:hAnsi="Arial" w:cs="Arial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217"/>
    <w:rPr>
      <w:strike w:val="0"/>
      <w:dstrike w:val="0"/>
      <w:color w:val="273E6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49E"/>
    <w:rPr>
      <w:rFonts w:ascii="Arial" w:eastAsia="Times New Roman" w:hAnsi="Arial" w:cs="Arial"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F3C68"/>
    <w:rPr>
      <w:b/>
      <w:bCs/>
    </w:rPr>
  </w:style>
  <w:style w:type="paragraph" w:styleId="a8">
    <w:name w:val="Normal (Web)"/>
    <w:basedOn w:val="a"/>
    <w:uiPriority w:val="99"/>
    <w:semiHidden/>
    <w:unhideWhenUsed/>
    <w:rsid w:val="004F3C68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date2">
    <w:name w:val="meta-date2"/>
    <w:basedOn w:val="a0"/>
    <w:rsid w:val="004F3C68"/>
  </w:style>
  <w:style w:type="paragraph" w:customStyle="1" w:styleId="pr">
    <w:name w:val="pr"/>
    <w:basedOn w:val="a"/>
    <w:rsid w:val="007F58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7F58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7F58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1D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CC1D18"/>
    <w:pPr>
      <w:ind w:left="720"/>
      <w:contextualSpacing/>
    </w:pPr>
  </w:style>
  <w:style w:type="paragraph" w:customStyle="1" w:styleId="postmetadata">
    <w:name w:val="postmetadata"/>
    <w:basedOn w:val="a"/>
    <w:rsid w:val="00CC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rsid w:val="00CC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1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8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IKravets</cp:lastModifiedBy>
  <cp:revision>3</cp:revision>
  <cp:lastPrinted>2016-08-30T05:14:00Z</cp:lastPrinted>
  <dcterms:created xsi:type="dcterms:W3CDTF">2018-07-05T08:49:00Z</dcterms:created>
  <dcterms:modified xsi:type="dcterms:W3CDTF">2018-07-05T10:04:00Z</dcterms:modified>
</cp:coreProperties>
</file>